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4894" w14:textId="3EDB57CB"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sidR="00757F03">
        <w:rPr>
          <w:rFonts w:cs="Arial"/>
          <w:b/>
          <w:color w:val="CC0000"/>
          <w:sz w:val="40"/>
          <w:szCs w:val="40"/>
          <w:lang w:val="es-ES" w:eastAsia="es-ES"/>
        </w:rPr>
        <w:t>L SENEGAL, COSTA D’IVORI I/O CAMERUN</w:t>
      </w:r>
    </w:p>
    <w:p w14:paraId="236741E4" w14:textId="20BCA965" w:rsidR="00A72CA4" w:rsidRDefault="00A72CA4" w:rsidP="00A72CA4">
      <w:pPr>
        <w:jc w:val="center"/>
        <w:rPr>
          <w:sz w:val="28"/>
          <w:szCs w:val="28"/>
          <w:lang w:val="es-ES"/>
        </w:rPr>
      </w:pPr>
      <w:r>
        <w:rPr>
          <w:sz w:val="28"/>
          <w:szCs w:val="28"/>
          <w:lang w:val="es-ES"/>
        </w:rPr>
        <w:t xml:space="preserve">Del </w:t>
      </w:r>
      <w:r w:rsidR="00757F03">
        <w:rPr>
          <w:sz w:val="28"/>
          <w:szCs w:val="28"/>
          <w:lang w:val="es-ES"/>
        </w:rPr>
        <w:t>12</w:t>
      </w:r>
      <w:r w:rsidR="00A44E5D">
        <w:rPr>
          <w:sz w:val="28"/>
          <w:szCs w:val="28"/>
          <w:lang w:val="es-ES"/>
        </w:rPr>
        <w:t xml:space="preserve"> al </w:t>
      </w:r>
      <w:r w:rsidR="0063462E">
        <w:rPr>
          <w:sz w:val="28"/>
          <w:szCs w:val="28"/>
          <w:lang w:val="es-ES"/>
        </w:rPr>
        <w:t>16</w:t>
      </w:r>
      <w:r>
        <w:rPr>
          <w:sz w:val="28"/>
          <w:szCs w:val="28"/>
          <w:lang w:val="es-ES"/>
        </w:rPr>
        <w:t xml:space="preserve"> </w:t>
      </w:r>
      <w:proofErr w:type="spellStart"/>
      <w:r w:rsidR="00757F03">
        <w:rPr>
          <w:sz w:val="28"/>
          <w:szCs w:val="28"/>
          <w:lang w:val="es-ES"/>
        </w:rPr>
        <w:t>d’abril</w:t>
      </w:r>
      <w:proofErr w:type="spellEnd"/>
      <w:r>
        <w:rPr>
          <w:sz w:val="28"/>
          <w:szCs w:val="28"/>
          <w:lang w:val="es-ES"/>
        </w:rPr>
        <w:t xml:space="preserve"> de 2.02</w:t>
      </w:r>
      <w:r w:rsidR="00757F03">
        <w:rPr>
          <w:sz w:val="28"/>
          <w:szCs w:val="28"/>
          <w:lang w:val="es-ES"/>
        </w:rPr>
        <w:t>1</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E601E2D" w:rsidR="00116F28" w:rsidRPr="00D15DA9" w:rsidRDefault="00116F28" w:rsidP="00D34971">
            <w:pPr>
              <w:jc w:val="both"/>
              <w:rPr>
                <w:b/>
                <w:sz w:val="24"/>
                <w:lang w:val="es-ES"/>
              </w:rPr>
            </w:pPr>
            <w:r w:rsidRPr="00D15DA9">
              <w:rPr>
                <w:b/>
                <w:sz w:val="24"/>
                <w:lang w:val="es-ES"/>
              </w:rPr>
              <w:t>201</w:t>
            </w:r>
            <w:r w:rsidR="00757F03">
              <w:rPr>
                <w:b/>
                <w:sz w:val="24"/>
                <w:lang w:val="es-ES"/>
              </w:rPr>
              <w:t>8</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9A248A9" w:rsidR="00116F28" w:rsidRPr="00D15DA9" w:rsidRDefault="00116F28" w:rsidP="00D34971">
            <w:pPr>
              <w:jc w:val="both"/>
              <w:rPr>
                <w:b/>
                <w:sz w:val="24"/>
                <w:lang w:val="es-ES"/>
              </w:rPr>
            </w:pPr>
            <w:r w:rsidRPr="00D15DA9">
              <w:rPr>
                <w:b/>
                <w:sz w:val="24"/>
                <w:lang w:val="es-ES"/>
              </w:rPr>
              <w:t>201</w:t>
            </w:r>
            <w:r w:rsidR="00757F03">
              <w:rPr>
                <w:b/>
                <w:sz w:val="24"/>
                <w:lang w:val="es-ES"/>
              </w:rPr>
              <w:t>9</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0DD2E731" w:rsidR="00116F28" w:rsidRPr="00D15DA9" w:rsidRDefault="00116F28" w:rsidP="00D34971">
            <w:pPr>
              <w:jc w:val="both"/>
              <w:rPr>
                <w:b/>
                <w:sz w:val="24"/>
                <w:lang w:val="es-ES"/>
              </w:rPr>
            </w:pPr>
            <w:r w:rsidRPr="00D15DA9">
              <w:rPr>
                <w:b/>
                <w:sz w:val="24"/>
                <w:lang w:val="es-ES"/>
              </w:rPr>
              <w:t>20</w:t>
            </w:r>
            <w:r w:rsidR="00757F03">
              <w:rPr>
                <w:b/>
                <w:sz w:val="24"/>
                <w:lang w:val="es-ES"/>
              </w:rPr>
              <w:t>20</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6AEA3BF8"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20</w:t>
            </w:r>
          </w:p>
        </w:tc>
        <w:tc>
          <w:tcPr>
            <w:tcW w:w="4322" w:type="dxa"/>
            <w:gridSpan w:val="2"/>
            <w:shd w:val="clear" w:color="auto" w:fill="F2F2F2" w:themeFill="background1" w:themeFillShade="F2"/>
          </w:tcPr>
          <w:p w14:paraId="53349FEB" w14:textId="0FDA97F4"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20</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9A3B5E"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0CE404F0" w:rsidR="00511598" w:rsidRPr="00D15DA9" w:rsidRDefault="004674A2" w:rsidP="00511598">
      <w:pPr>
        <w:jc w:val="both"/>
        <w:rPr>
          <w:sz w:val="24"/>
          <w:lang w:val="es-ES"/>
        </w:rPr>
      </w:pPr>
      <w:r>
        <w:rPr>
          <w:sz w:val="24"/>
          <w:lang w:val="es-ES"/>
        </w:rPr>
        <w:t>Senegal</w:t>
      </w:r>
      <w:r w:rsidR="00511598">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4D3A76A6" w14:textId="1038A9B8" w:rsidR="00511598" w:rsidRDefault="004674A2" w:rsidP="00511598">
      <w:pPr>
        <w:jc w:val="both"/>
        <w:rPr>
          <w:sz w:val="24"/>
          <w:lang w:val="es-ES"/>
        </w:rPr>
      </w:pPr>
      <w:r>
        <w:rPr>
          <w:sz w:val="24"/>
          <w:lang w:val="es-ES"/>
        </w:rPr>
        <w:t>Costa de Marfil</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56E694EC" w14:textId="532D6F62" w:rsidR="00511598" w:rsidRPr="00D15DA9" w:rsidRDefault="004674A2" w:rsidP="00511598">
      <w:pPr>
        <w:jc w:val="both"/>
        <w:rPr>
          <w:sz w:val="24"/>
          <w:lang w:val="es-ES"/>
        </w:rPr>
      </w:pPr>
      <w:r>
        <w:rPr>
          <w:sz w:val="24"/>
          <w:lang w:val="es-ES"/>
        </w:rPr>
        <w:t>Camerún</w:t>
      </w:r>
      <w:r>
        <w:rPr>
          <w:sz w:val="24"/>
          <w:lang w:val="es-ES"/>
        </w:rPr>
        <w:tab/>
      </w:r>
      <w:r w:rsidR="00511598">
        <w:rPr>
          <w:sz w:val="24"/>
          <w:lang w:val="es-ES"/>
        </w:rPr>
        <w:tab/>
      </w:r>
      <w:r w:rsidR="00511598">
        <w:rPr>
          <w:sz w:val="24"/>
          <w:lang w:val="es-ES"/>
        </w:rPr>
        <w:tab/>
      </w:r>
      <w:r w:rsidR="00511598">
        <w:rPr>
          <w:sz w:val="24"/>
          <w:lang w:val="es-ES"/>
        </w:rPr>
        <w:tab/>
      </w:r>
      <w:r w:rsidR="00511598">
        <w:rPr>
          <w:sz w:val="24"/>
          <w:lang w:val="es-ES"/>
        </w:rPr>
        <w:tab/>
      </w:r>
      <w:r w:rsidR="00511598" w:rsidRPr="00D15DA9">
        <w:rPr>
          <w:sz w:val="24"/>
          <w:lang w:val="es-ES"/>
        </w:rPr>
        <w:t>SÍ ( )</w:t>
      </w:r>
      <w:r w:rsidR="00511598" w:rsidRPr="00D15DA9">
        <w:rPr>
          <w:sz w:val="24"/>
          <w:lang w:val="es-ES"/>
        </w:rPr>
        <w:tab/>
        <w:t>NO ( )</w:t>
      </w:r>
    </w:p>
    <w:p w14:paraId="66EBFAAC" w14:textId="77777777" w:rsidR="00511598" w:rsidRDefault="00511598" w:rsidP="00511598">
      <w:pPr>
        <w:jc w:val="both"/>
        <w:rPr>
          <w:sz w:val="24"/>
          <w:lang w:val="es-ES"/>
        </w:rPr>
      </w:pPr>
    </w:p>
    <w:p w14:paraId="05FC89A1" w14:textId="77777777" w:rsidR="00511598" w:rsidRDefault="00511598"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209DC33F" w14:textId="77777777" w:rsidR="004674A2" w:rsidRPr="00D15DA9" w:rsidRDefault="004674A2" w:rsidP="004674A2">
      <w:pPr>
        <w:jc w:val="both"/>
        <w:rPr>
          <w:sz w:val="24"/>
          <w:lang w:val="es-ES"/>
        </w:rPr>
      </w:pPr>
      <w:r>
        <w:rPr>
          <w:sz w:val="24"/>
          <w:lang w:val="es-ES"/>
        </w:rPr>
        <w:t>Senegal</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F5817AF" w14:textId="77777777" w:rsidR="004674A2" w:rsidRDefault="004674A2" w:rsidP="004674A2">
      <w:pPr>
        <w:jc w:val="both"/>
        <w:rPr>
          <w:sz w:val="24"/>
          <w:lang w:val="es-ES"/>
        </w:rPr>
      </w:pPr>
      <w:r>
        <w:rPr>
          <w:sz w:val="24"/>
          <w:lang w:val="es-ES"/>
        </w:rPr>
        <w:t>Costa de Marfil</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1917F92" w14:textId="77777777" w:rsidR="004674A2" w:rsidRPr="00D15DA9" w:rsidRDefault="004674A2" w:rsidP="004674A2">
      <w:pPr>
        <w:jc w:val="both"/>
        <w:rPr>
          <w:sz w:val="24"/>
          <w:lang w:val="es-ES"/>
        </w:rPr>
      </w:pPr>
      <w:r>
        <w:rPr>
          <w:sz w:val="24"/>
          <w:lang w:val="es-ES"/>
        </w:rPr>
        <w:t>Camerún</w:t>
      </w:r>
      <w:r>
        <w:rPr>
          <w:sz w:val="24"/>
          <w:lang w:val="es-ES"/>
        </w:rPr>
        <w:tab/>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07AC07C0"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14:paraId="0A1734CE" w14:textId="77777777" w:rsidR="00E4761C" w:rsidRPr="00D15DA9" w:rsidRDefault="009A3B5E" w:rsidP="00E4761C">
      <w:pPr>
        <w:pStyle w:val="Textoindependiente"/>
        <w:rPr>
          <w:rFonts w:cs="Arial"/>
          <w:sz w:val="24"/>
          <w:szCs w:val="24"/>
          <w:lang w:val="es-ES"/>
        </w:rPr>
      </w:pPr>
      <w:r>
        <w:rPr>
          <w:rFonts w:cs="Arial"/>
          <w:noProof/>
          <w:sz w:val="24"/>
          <w:szCs w:val="24"/>
          <w:lang w:eastAsia="ca-ES"/>
        </w:rPr>
        <w:pict w14:anchorId="4A3D0EA2">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77777777" w:rsidR="00E4761C" w:rsidRPr="00D15DA9" w:rsidRDefault="00E4761C" w:rsidP="00E4761C">
      <w:pPr>
        <w:pStyle w:val="Textoindependiente"/>
        <w:rPr>
          <w:rFonts w:cs="Arial"/>
          <w:sz w:val="24"/>
          <w:szCs w:val="24"/>
          <w:lang w:val="es-ES"/>
        </w:rPr>
      </w:pPr>
    </w:p>
    <w:p w14:paraId="01EFA5EA" w14:textId="77777777" w:rsidR="00F81B9A" w:rsidRDefault="00264D33" w:rsidP="00F81B9A">
      <w:pPr>
        <w:jc w:val="both"/>
        <w:rPr>
          <w:rFonts w:cs="Arial"/>
          <w:b/>
          <w:sz w:val="28"/>
          <w:szCs w:val="28"/>
          <w:lang w:val="es-ES"/>
        </w:rPr>
      </w:pPr>
      <w:r>
        <w:rPr>
          <w:rFonts w:cs="Arial"/>
          <w:b/>
          <w:sz w:val="28"/>
          <w:szCs w:val="28"/>
          <w:lang w:val="es-ES"/>
        </w:rPr>
        <w:t xml:space="preserve">4) ¿ Conoce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14:paraId="61BCAC91"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1E35171D"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75C4753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0CD2D731"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77777777" w:rsidR="00E4761C" w:rsidRPr="00D15DA9" w:rsidRDefault="00E4761C"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035AA75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9A3B5E" w:rsidP="006C75B0">
      <w:pPr>
        <w:pStyle w:val="Textoindependiente"/>
        <w:spacing w:before="76" w:line="288" w:lineRule="auto"/>
        <w:rPr>
          <w:w w:val="105"/>
        </w:rPr>
      </w:pPr>
      <w:r>
        <w:rPr>
          <w:noProof/>
          <w:lang w:eastAsia="ca-ES"/>
        </w:rPr>
        <w:pict w14:anchorId="23672F5A">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9A3B5E" w:rsidP="00C144D1">
      <w:pPr>
        <w:spacing w:before="65" w:line="273" w:lineRule="auto"/>
        <w:ind w:left="112" w:right="112"/>
        <w:jc w:val="both"/>
        <w:rPr>
          <w:i/>
          <w:sz w:val="17"/>
        </w:rPr>
      </w:pPr>
      <w:r>
        <w:rPr>
          <w:noProof/>
          <w:lang w:eastAsia="ca-ES"/>
        </w:rPr>
        <w:pict w14:anchorId="48904E1C">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781D1003" w14:textId="77777777" w:rsidR="00E52E96" w:rsidRP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9A3B5E"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9A3B5E"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E433" w14:textId="77777777" w:rsidR="009A3B5E" w:rsidRDefault="009A3B5E">
      <w:pPr>
        <w:spacing w:after="0" w:line="240" w:lineRule="auto"/>
      </w:pPr>
      <w:r>
        <w:separator/>
      </w:r>
    </w:p>
  </w:endnote>
  <w:endnote w:type="continuationSeparator" w:id="0">
    <w:p w14:paraId="070CA655" w14:textId="77777777" w:rsidR="009A3B5E" w:rsidRDefault="009A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9A3B5E">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A17E" w14:textId="77777777" w:rsidR="009A3B5E" w:rsidRDefault="009A3B5E">
      <w:pPr>
        <w:spacing w:after="0" w:line="240" w:lineRule="auto"/>
      </w:pPr>
      <w:r>
        <w:separator/>
      </w:r>
    </w:p>
  </w:footnote>
  <w:footnote w:type="continuationSeparator" w:id="0">
    <w:p w14:paraId="175C174E" w14:textId="77777777" w:rsidR="009A3B5E" w:rsidRDefault="009A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ED08" w14:textId="77777777" w:rsidR="00647775" w:rsidRDefault="009A3B5E">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F256F"/>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A3B5E"/>
    <w:rsid w:val="009E2C3D"/>
    <w:rsid w:val="00A06318"/>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4761C"/>
    <w:rsid w:val="00E52E96"/>
    <w:rsid w:val="00E54A4E"/>
    <w:rsid w:val="00E7022E"/>
    <w:rsid w:val="00E80E73"/>
    <w:rsid w:val="00E848C8"/>
    <w:rsid w:val="00ED1A4F"/>
    <w:rsid w:val="00EE7A3C"/>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1479</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9892</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Cambra Girona 4</cp:lastModifiedBy>
  <cp:revision>9</cp:revision>
  <cp:lastPrinted>2016-04-19T09:36:00Z</cp:lastPrinted>
  <dcterms:created xsi:type="dcterms:W3CDTF">2019-12-27T12:08:00Z</dcterms:created>
  <dcterms:modified xsi:type="dcterms:W3CDTF">2021-02-04T08:41:00Z</dcterms:modified>
</cp:coreProperties>
</file>